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482" w:rsidRDefault="00822815">
      <w:pPr>
        <w:rPr>
          <w:rFonts w:ascii="Arial" w:eastAsia="Arial" w:hAnsi="Arial" w:cs="Arial"/>
          <w:b/>
          <w:sz w:val="36"/>
          <w:szCs w:val="36"/>
        </w:rPr>
      </w:pPr>
      <w:r>
        <w:rPr>
          <w:rFonts w:ascii="Arial" w:eastAsia="Arial" w:hAnsi="Arial" w:cs="Arial"/>
          <w:b/>
          <w:sz w:val="36"/>
          <w:szCs w:val="36"/>
        </w:rPr>
        <w:t>Framework</w:t>
      </w:r>
      <w:bookmarkStart w:id="0" w:name="_GoBack"/>
      <w:bookmarkEnd w:id="0"/>
      <w:r>
        <w:rPr>
          <w:rFonts w:ascii="Arial" w:eastAsia="Arial" w:hAnsi="Arial" w:cs="Arial"/>
          <w:b/>
          <w:sz w:val="36"/>
          <w:szCs w:val="36"/>
        </w:rPr>
        <w:t xml:space="preserve"> Schedule 3 (Framework Prices)</w:t>
      </w:r>
    </w:p>
    <w:p w:rsidR="00243482" w:rsidRPr="00A878D0" w:rsidRDefault="00822815">
      <w:pPr>
        <w:numPr>
          <w:ilvl w:val="0"/>
          <w:numId w:val="1"/>
        </w:numPr>
        <w:pBdr>
          <w:top w:val="nil"/>
          <w:left w:val="nil"/>
          <w:bottom w:val="nil"/>
          <w:right w:val="nil"/>
          <w:between w:val="nil"/>
        </w:pBdr>
        <w:tabs>
          <w:tab w:val="left" w:pos="142"/>
        </w:tabs>
        <w:spacing w:before="120" w:after="240" w:line="240" w:lineRule="auto"/>
        <w:jc w:val="both"/>
        <w:rPr>
          <w:rFonts w:ascii="Arial" w:hAnsi="Arial" w:cs="Arial"/>
          <w:sz w:val="24"/>
          <w:szCs w:val="24"/>
        </w:rPr>
      </w:pPr>
      <w:bookmarkStart w:id="1" w:name="_heading=h.gjdgxs" w:colFirst="0" w:colLast="0"/>
      <w:bookmarkEnd w:id="1"/>
      <w:r w:rsidRPr="00A878D0">
        <w:rPr>
          <w:rFonts w:ascii="Arial" w:eastAsia="Arial" w:hAnsi="Arial" w:cs="Arial"/>
          <w:b/>
          <w:color w:val="000000"/>
          <w:sz w:val="24"/>
          <w:szCs w:val="24"/>
        </w:rPr>
        <w:t>How Framework Prices are used to calculate Call-Off Charges</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 xml:space="preserve">The Framework Prices: </w:t>
      </w:r>
    </w:p>
    <w:p w:rsidR="00243482" w:rsidRPr="00A878D0" w:rsidRDefault="00822815">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will be used as the basis for the charges (and are maximums that the Supplier may charge) under each Call Off Contract; and</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cannot be increased except as in accordance with this Schedule.</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The Charges:</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 xml:space="preserve">shall not be impacted by any change to the Framework Prices. </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30j0zll" w:colFirst="0" w:colLast="0"/>
      <w:bookmarkEnd w:id="2"/>
      <w:r w:rsidRPr="00A878D0">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243482" w:rsidRPr="00A878D0" w:rsidRDefault="00822815">
      <w:pPr>
        <w:numPr>
          <w:ilvl w:val="0"/>
          <w:numId w:val="1"/>
        </w:numPr>
        <w:pBdr>
          <w:top w:val="nil"/>
          <w:left w:val="nil"/>
          <w:bottom w:val="nil"/>
          <w:right w:val="nil"/>
          <w:between w:val="nil"/>
        </w:pBdr>
        <w:tabs>
          <w:tab w:val="left" w:pos="142"/>
        </w:tabs>
        <w:spacing w:before="120" w:after="240" w:line="240" w:lineRule="auto"/>
        <w:jc w:val="both"/>
        <w:rPr>
          <w:rFonts w:ascii="Arial" w:hAnsi="Arial" w:cs="Arial"/>
          <w:sz w:val="24"/>
          <w:szCs w:val="24"/>
        </w:rPr>
      </w:pPr>
      <w:r w:rsidRPr="00A878D0">
        <w:rPr>
          <w:rFonts w:ascii="Arial" w:eastAsia="Arial" w:hAnsi="Arial" w:cs="Arial"/>
          <w:b/>
          <w:color w:val="000000"/>
          <w:sz w:val="24"/>
          <w:szCs w:val="24"/>
        </w:rPr>
        <w:t>How Framework Prices are calculated</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The pricing mechanisms and prices set out in Annex 1 shall be available for use in calculation of Framework Prices in Call Off Contracts.</w:t>
      </w:r>
    </w:p>
    <w:p w:rsidR="00243482" w:rsidRPr="00A878D0" w:rsidRDefault="00822815">
      <w:pPr>
        <w:numPr>
          <w:ilvl w:val="0"/>
          <w:numId w:val="1"/>
        </w:numPr>
        <w:pBdr>
          <w:top w:val="nil"/>
          <w:left w:val="nil"/>
          <w:bottom w:val="nil"/>
          <w:right w:val="nil"/>
          <w:between w:val="nil"/>
        </w:pBdr>
        <w:tabs>
          <w:tab w:val="left" w:pos="142"/>
        </w:tabs>
        <w:spacing w:before="120" w:after="240" w:line="240" w:lineRule="auto"/>
        <w:jc w:val="both"/>
        <w:rPr>
          <w:rFonts w:ascii="Arial" w:hAnsi="Arial" w:cs="Arial"/>
          <w:sz w:val="24"/>
          <w:szCs w:val="24"/>
        </w:rPr>
      </w:pPr>
      <w:bookmarkStart w:id="3" w:name="bookmark=id.3znysh7" w:colFirst="0" w:colLast="0"/>
      <w:bookmarkStart w:id="4" w:name="_heading=h.1fob9te" w:colFirst="0" w:colLast="0"/>
      <w:bookmarkEnd w:id="3"/>
      <w:bookmarkEnd w:id="4"/>
      <w:r w:rsidRPr="00A878D0">
        <w:rPr>
          <w:rFonts w:ascii="Arial" w:eastAsia="Arial" w:hAnsi="Arial" w:cs="Arial"/>
          <w:b/>
          <w:color w:val="000000"/>
          <w:sz w:val="24"/>
          <w:szCs w:val="24"/>
        </w:rPr>
        <w:t>Are costs and expenses are included in the Framework Prices</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rsidR="00243482" w:rsidRPr="00A878D0" w:rsidRDefault="0082281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243482" w:rsidRPr="00A878D0" w:rsidRDefault="0082281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costs incurred prior to the commencement of any Call Off Contract.</w:t>
      </w:r>
    </w:p>
    <w:p w:rsidR="00243482" w:rsidRPr="00A878D0" w:rsidRDefault="00822815">
      <w:pPr>
        <w:numPr>
          <w:ilvl w:val="0"/>
          <w:numId w:val="1"/>
        </w:numPr>
        <w:pBdr>
          <w:top w:val="nil"/>
          <w:left w:val="nil"/>
          <w:bottom w:val="nil"/>
          <w:right w:val="nil"/>
          <w:between w:val="nil"/>
        </w:pBdr>
        <w:tabs>
          <w:tab w:val="left" w:pos="142"/>
        </w:tabs>
        <w:spacing w:before="120" w:after="240" w:line="240" w:lineRule="auto"/>
        <w:jc w:val="both"/>
        <w:rPr>
          <w:rFonts w:ascii="Arial" w:hAnsi="Arial" w:cs="Arial"/>
          <w:sz w:val="24"/>
          <w:szCs w:val="24"/>
        </w:rPr>
      </w:pPr>
      <w:r w:rsidRPr="00A878D0">
        <w:rPr>
          <w:rFonts w:ascii="Arial" w:eastAsia="Arial" w:hAnsi="Arial" w:cs="Arial"/>
          <w:b/>
          <w:color w:val="000000"/>
          <w:sz w:val="24"/>
          <w:szCs w:val="24"/>
        </w:rPr>
        <w:t>When the Supplier can ask to change the Framework Prices</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The Framework Prices will be fixed for the first two (2) years following the Framework Contract Commencement Date (the date of expiry of such period is a "</w:t>
      </w:r>
      <w:r w:rsidRPr="00A878D0">
        <w:rPr>
          <w:rFonts w:ascii="Arial" w:eastAsia="Arial" w:hAnsi="Arial" w:cs="Arial"/>
          <w:b/>
          <w:color w:val="000000"/>
          <w:sz w:val="24"/>
          <w:szCs w:val="24"/>
        </w:rPr>
        <w:t>Review Date</w:t>
      </w:r>
      <w:r w:rsidRPr="00A878D0">
        <w:rPr>
          <w:rFonts w:ascii="Arial" w:eastAsia="Arial" w:hAnsi="Arial" w:cs="Arial"/>
          <w:color w:val="000000"/>
          <w:sz w:val="24"/>
          <w:szCs w:val="24"/>
        </w:rPr>
        <w:t>").  After this Framework Prices can only be adjusted on each following yearly anniversary (the date of each such anniversary is also a "</w:t>
      </w:r>
      <w:r w:rsidRPr="00A878D0">
        <w:rPr>
          <w:rFonts w:ascii="Arial" w:eastAsia="Arial" w:hAnsi="Arial" w:cs="Arial"/>
          <w:b/>
          <w:color w:val="000000"/>
          <w:sz w:val="24"/>
          <w:szCs w:val="24"/>
        </w:rPr>
        <w:t>Review Date</w:t>
      </w:r>
      <w:r w:rsidRPr="00A878D0">
        <w:rPr>
          <w:rFonts w:ascii="Arial" w:eastAsia="Arial" w:hAnsi="Arial" w:cs="Arial"/>
          <w:color w:val="000000"/>
          <w:sz w:val="24"/>
          <w:szCs w:val="24"/>
        </w:rPr>
        <w:t>").</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sidRPr="00A878D0">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Any notice requesting an increase shall include:</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a list of the Framework Prices to be reviewed;</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for each Framework Price under review, written evidence of the justification for the requested increase including:</w:t>
      </w:r>
    </w:p>
    <w:p w:rsidR="00243482" w:rsidRPr="00A878D0" w:rsidRDefault="0082281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sidRPr="00A878D0">
        <w:rPr>
          <w:rFonts w:ascii="Arial" w:eastAsia="Arial" w:hAnsi="Arial" w:cs="Arial"/>
          <w:color w:val="000000"/>
          <w:sz w:val="24"/>
          <w:szCs w:val="24"/>
        </w:rPr>
        <w:t xml:space="preserve">a breakdown of the profit and cost components that comprise the relevant Framework Price; </w:t>
      </w:r>
    </w:p>
    <w:p w:rsidR="00243482" w:rsidRPr="00A878D0" w:rsidRDefault="0082281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A878D0">
        <w:rPr>
          <w:rFonts w:ascii="Arial" w:eastAsia="Arial" w:hAnsi="Arial" w:cs="Arial"/>
          <w:color w:val="000000"/>
          <w:sz w:val="24"/>
          <w:szCs w:val="24"/>
        </w:rPr>
        <w:t>details of the movement in the different identified cost components of the relevant Framework Price;</w:t>
      </w:r>
    </w:p>
    <w:p w:rsidR="00243482" w:rsidRPr="00A878D0" w:rsidRDefault="0082281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A878D0">
        <w:rPr>
          <w:rFonts w:ascii="Arial" w:eastAsia="Arial" w:hAnsi="Arial" w:cs="Arial"/>
          <w:color w:val="000000"/>
          <w:sz w:val="24"/>
          <w:szCs w:val="24"/>
        </w:rPr>
        <w:t>reasons for the movement in the different identified cost components of the relevant Framework Price;</w:t>
      </w:r>
    </w:p>
    <w:p w:rsidR="00243482" w:rsidRPr="00A878D0" w:rsidRDefault="0082281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sidRPr="00A878D0">
        <w:rPr>
          <w:rFonts w:ascii="Arial" w:eastAsia="Arial" w:hAnsi="Arial" w:cs="Arial"/>
          <w:color w:val="000000"/>
          <w:sz w:val="24"/>
          <w:szCs w:val="24"/>
        </w:rPr>
        <w:t>evidence that the Supplier has attempted to mitigate against the increase in the relevant cost components.</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CCS shall consider each request for a price increase.  CCS may grant Approval to an increase at its sole discretion.</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243482" w:rsidRPr="00A878D0" w:rsidRDefault="00822815">
      <w:pPr>
        <w:numPr>
          <w:ilvl w:val="0"/>
          <w:numId w:val="1"/>
        </w:numPr>
        <w:pBdr>
          <w:top w:val="nil"/>
          <w:left w:val="nil"/>
          <w:bottom w:val="nil"/>
          <w:right w:val="nil"/>
          <w:between w:val="nil"/>
        </w:pBdr>
        <w:tabs>
          <w:tab w:val="left" w:pos="142"/>
        </w:tabs>
        <w:spacing w:before="120" w:after="240" w:line="240" w:lineRule="auto"/>
        <w:jc w:val="both"/>
        <w:rPr>
          <w:rFonts w:ascii="Arial" w:hAnsi="Arial" w:cs="Arial"/>
          <w:sz w:val="24"/>
          <w:szCs w:val="24"/>
        </w:rPr>
      </w:pPr>
      <w:r w:rsidRPr="00A878D0">
        <w:rPr>
          <w:rFonts w:ascii="Arial" w:eastAsia="Arial" w:hAnsi="Arial" w:cs="Arial"/>
          <w:b/>
          <w:color w:val="000000"/>
          <w:sz w:val="24"/>
          <w:szCs w:val="24"/>
        </w:rPr>
        <w:t>Other events that allow the Supplier to change the Framework Prices</w:t>
      </w:r>
    </w:p>
    <w:p w:rsidR="00243482" w:rsidRPr="00A878D0"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A878D0">
        <w:rPr>
          <w:rFonts w:ascii="Arial" w:eastAsia="Arial" w:hAnsi="Arial" w:cs="Arial"/>
          <w:color w:val="000000"/>
          <w:sz w:val="24"/>
          <w:szCs w:val="24"/>
        </w:rPr>
        <w:t>The Framework Prices can also be varied (and Annex 1 will be updated accordingly) due to:</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a Specific Change in Law in accordance with Clause 24;</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 xml:space="preserve">a review in accordance with insurance requirements in Clause 13; </w:t>
      </w:r>
    </w:p>
    <w:p w:rsidR="00243482" w:rsidRPr="00A878D0"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A878D0">
        <w:rPr>
          <w:rFonts w:ascii="Arial" w:eastAsia="Arial" w:hAnsi="Arial" w:cs="Arial"/>
          <w:color w:val="000000"/>
          <w:sz w:val="24"/>
          <w:szCs w:val="24"/>
        </w:rPr>
        <w:t>a benchmarking review in accordance with Call Off Schedule 16 (Benchmarking)</w:t>
      </w:r>
    </w:p>
    <w:p w:rsidR="00243482" w:rsidRDefault="00822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rsidR="00243482" w:rsidRDefault="0082281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you will be reimbursed for travel and subsistence</w:t>
      </w:r>
    </w:p>
    <w:p w:rsidR="00243482"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243482" w:rsidRDefault="0082281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243482" w:rsidRDefault="0082281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243482" w:rsidRDefault="0082281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they are Reimbursable Expenses and are supported by Supporting Documentation.</w:t>
      </w:r>
    </w:p>
    <w:p w:rsidR="00243482" w:rsidRDefault="0082281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lastRenderedPageBreak/>
        <w:t xml:space="preserve">The Buyer shall provide a copy of their current expenses policy to the Supplier upon request. </w:t>
      </w:r>
    </w:p>
    <w:p w:rsidR="00A878D0" w:rsidRPr="00A878D0" w:rsidRDefault="000D43B4" w:rsidP="00A878D0">
      <w:pPr>
        <w:pStyle w:val="GPSL1CLAUSEHEADING"/>
        <w:rPr>
          <w:rFonts w:ascii="Arial" w:hAnsi="Arial"/>
          <w:sz w:val="24"/>
          <w:szCs w:val="24"/>
        </w:rPr>
      </w:pPr>
      <w:r w:rsidRPr="00A878D0">
        <w:rPr>
          <w:rFonts w:ascii="Arial" w:hAnsi="Arial"/>
          <w:caps w:val="0"/>
          <w:sz w:val="24"/>
          <w:szCs w:val="24"/>
        </w:rPr>
        <w:t>indexation of pricing in response to foreign exchange rates</w:t>
      </w:r>
    </w:p>
    <w:p w:rsidR="00A878D0" w:rsidRPr="00A878D0" w:rsidRDefault="00A878D0" w:rsidP="00B72F54">
      <w:pPr>
        <w:pStyle w:val="GPSL2numberedclause"/>
        <w:ind w:left="981" w:hanging="357"/>
        <w:rPr>
          <w:rFonts w:ascii="Arial" w:hAnsi="Arial"/>
          <w:sz w:val="24"/>
          <w:szCs w:val="24"/>
          <w:highlight w:val="white"/>
        </w:rPr>
      </w:pPr>
      <w:r w:rsidRPr="00A878D0">
        <w:rPr>
          <w:rFonts w:ascii="Arial" w:eastAsia="Arial" w:hAnsi="Arial"/>
          <w:sz w:val="24"/>
          <w:szCs w:val="24"/>
          <w:highlight w:val="white"/>
        </w:rPr>
        <w:t>Pricing for Services delivered under this Framework will be in Pounds Sterling (GBP).</w:t>
      </w:r>
    </w:p>
    <w:p w:rsidR="00A878D0" w:rsidRPr="00A878D0" w:rsidRDefault="00A878D0" w:rsidP="00A878D0">
      <w:pPr>
        <w:pStyle w:val="GPSL2numberedclause"/>
        <w:numPr>
          <w:ilvl w:val="0"/>
          <w:numId w:val="0"/>
        </w:numPr>
        <w:ind w:left="644"/>
        <w:rPr>
          <w:rFonts w:ascii="Arial" w:hAnsi="Arial"/>
          <w:sz w:val="24"/>
          <w:szCs w:val="24"/>
          <w:highlight w:val="white"/>
        </w:rPr>
      </w:pPr>
    </w:p>
    <w:p w:rsidR="00A878D0" w:rsidRPr="00A878D0" w:rsidRDefault="00A878D0" w:rsidP="000D43B4">
      <w:pPr>
        <w:pStyle w:val="GPSL2numberedclause"/>
        <w:ind w:left="983"/>
        <w:rPr>
          <w:rFonts w:ascii="Arial" w:hAnsi="Arial"/>
          <w:sz w:val="24"/>
          <w:szCs w:val="24"/>
          <w:highlight w:val="white"/>
        </w:rPr>
      </w:pPr>
      <w:r w:rsidRPr="00A878D0">
        <w:rPr>
          <w:rFonts w:ascii="Arial" w:eastAsia="Arial" w:hAnsi="Arial"/>
          <w:sz w:val="24"/>
          <w:szCs w:val="24"/>
          <w:highlight w:val="white"/>
        </w:rPr>
        <w:t>Given the international nature of Services provided under this contract, the Authority will permit the following mechanism for tracking either US Dollars (USD) or Euros (EUR) against GBP:</w:t>
      </w:r>
    </w:p>
    <w:p w:rsidR="00A878D0" w:rsidRPr="00A878D0" w:rsidRDefault="00A878D0" w:rsidP="00C50AEF">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Three standard currency fluctuation thresholds will be used: 3%, 5%, and 10%. If over the previous 12 months, the average forex rate exceeds 3% in comparison to the forex rate at the Framework Start Date, then an automatic increase of 3% will be provided (and the same equivalent increase applies to each threshold). For the avoidance of doubt, only 3%, 5% or 10% automatic increases will be applied irrespective of whether the average forex rate over the previous 12 months has exceeded one threshold but not the threshold above. The maximum rate increase will be 10%, excepting extreme events.​</w:t>
      </w:r>
    </w:p>
    <w:p w:rsidR="00A878D0" w:rsidRPr="00A878D0" w:rsidRDefault="00A878D0" w:rsidP="00945FE5">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An extreme events pressure release will also be included where USD or EUR increase 15% or more against GBP over a period of 3 months or more. An automatic rate increase will not be applied, but suppliers can apply for a temporary increase in maximum framework rates providing they are able to demonstrate sufficient justification in writing.​ The extreme events increase, if granted, would be time-limited and specified by the Authority.</w:t>
      </w:r>
    </w:p>
    <w:p w:rsidR="00A878D0" w:rsidRPr="00A878D0" w:rsidRDefault="00A878D0" w:rsidP="00945FE5">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Written evidence of the justification for the requested increase includes:</w:t>
      </w:r>
    </w:p>
    <w:p w:rsidR="00A878D0" w:rsidRPr="00A878D0" w:rsidRDefault="00A878D0" w:rsidP="00945FE5">
      <w:pPr>
        <w:pStyle w:val="GPSL4numberedclause"/>
        <w:ind w:left="2580"/>
        <w:rPr>
          <w:rFonts w:ascii="Arial" w:eastAsia="Arial" w:hAnsi="Arial"/>
          <w:sz w:val="24"/>
          <w:szCs w:val="24"/>
          <w:highlight w:val="white"/>
        </w:rPr>
      </w:pPr>
      <w:r w:rsidRPr="00A878D0">
        <w:rPr>
          <w:rFonts w:ascii="Arial" w:eastAsia="Arial" w:hAnsi="Arial"/>
          <w:sz w:val="24"/>
          <w:szCs w:val="24"/>
          <w:highlight w:val="white"/>
        </w:rPr>
        <w:t xml:space="preserve">a breakdown of the profit and cost components that comprise the relevant Framework Price; </w:t>
      </w:r>
    </w:p>
    <w:p w:rsidR="00A878D0" w:rsidRPr="00A878D0" w:rsidRDefault="00A878D0" w:rsidP="00A878D0">
      <w:pPr>
        <w:pStyle w:val="GPSL4numberedclause"/>
        <w:rPr>
          <w:rFonts w:ascii="Arial" w:eastAsia="Arial" w:hAnsi="Arial"/>
          <w:sz w:val="24"/>
          <w:szCs w:val="24"/>
          <w:highlight w:val="white"/>
        </w:rPr>
      </w:pPr>
      <w:r w:rsidRPr="00A878D0">
        <w:rPr>
          <w:rFonts w:ascii="Arial" w:eastAsia="Arial" w:hAnsi="Arial"/>
          <w:sz w:val="24"/>
          <w:szCs w:val="24"/>
          <w:highlight w:val="white"/>
        </w:rPr>
        <w:t>details of the movement in the different identified cost components of the relevant Framework Price;</w:t>
      </w:r>
    </w:p>
    <w:p w:rsidR="00A878D0" w:rsidRPr="00A878D0" w:rsidRDefault="00A878D0" w:rsidP="00A878D0">
      <w:pPr>
        <w:pStyle w:val="GPSL4numberedclause"/>
        <w:rPr>
          <w:rFonts w:ascii="Arial" w:eastAsia="Arial" w:hAnsi="Arial"/>
          <w:sz w:val="24"/>
          <w:szCs w:val="24"/>
          <w:highlight w:val="white"/>
        </w:rPr>
      </w:pPr>
      <w:r w:rsidRPr="00A878D0">
        <w:rPr>
          <w:rFonts w:ascii="Arial" w:eastAsia="Arial" w:hAnsi="Arial"/>
          <w:sz w:val="24"/>
          <w:szCs w:val="24"/>
          <w:highlight w:val="white"/>
        </w:rPr>
        <w:t>reasons for the movement in the different identified cost components of the relevant Framework Price;</w:t>
      </w:r>
    </w:p>
    <w:p w:rsidR="00A878D0" w:rsidRPr="00A878D0" w:rsidRDefault="00A878D0" w:rsidP="00A878D0">
      <w:pPr>
        <w:pStyle w:val="GPSL4numberedclause"/>
        <w:rPr>
          <w:rFonts w:ascii="Arial" w:eastAsia="Arial" w:hAnsi="Arial"/>
          <w:sz w:val="24"/>
          <w:szCs w:val="24"/>
          <w:highlight w:val="white"/>
        </w:rPr>
      </w:pPr>
      <w:r w:rsidRPr="00A878D0">
        <w:rPr>
          <w:rFonts w:ascii="Arial" w:eastAsia="Arial" w:hAnsi="Arial"/>
          <w:sz w:val="24"/>
          <w:szCs w:val="24"/>
          <w:highlight w:val="white"/>
        </w:rPr>
        <w:t>evidence that the Supplier has attempted to mitigate against the increase in the relevant cost components.</w:t>
      </w:r>
    </w:p>
    <w:p w:rsidR="00A878D0" w:rsidRPr="00A878D0" w:rsidRDefault="00A878D0" w:rsidP="00945FE5">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The average forex rate over the previous 12 months will be used to calculate the forex risk the Supplier is holding. Average annual exchange rate fluctuation will be calculated using Bank of England rates.​ The first review will take place on the first anniversary of the Framework Start Date, and on two further occasions at 12 month intervals.</w:t>
      </w:r>
    </w:p>
    <w:p w:rsidR="00A878D0" w:rsidRPr="00A878D0" w:rsidRDefault="00A878D0" w:rsidP="00C50AEF">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lastRenderedPageBreak/>
        <w:t>Each year the rates will revert back to the original Framework rates unless the exchange rate threshold continues to be met or is further exceeded. Increases will not be cumulative so in normal circumstances will never exceed 10% of the original framework rates. ​</w:t>
      </w:r>
    </w:p>
    <w:p w:rsidR="00A878D0" w:rsidRPr="00A878D0" w:rsidRDefault="00A878D0" w:rsidP="000D43B4">
      <w:pPr>
        <w:pStyle w:val="GPSL2numberedclause"/>
        <w:ind w:left="983"/>
        <w:rPr>
          <w:rFonts w:ascii="Arial" w:hAnsi="Arial"/>
          <w:sz w:val="24"/>
          <w:szCs w:val="24"/>
          <w:highlight w:val="white"/>
        </w:rPr>
      </w:pPr>
      <w:r w:rsidRPr="00A878D0">
        <w:rPr>
          <w:rFonts w:ascii="Arial" w:eastAsia="Arial" w:hAnsi="Arial"/>
          <w:sz w:val="24"/>
          <w:szCs w:val="24"/>
          <w:highlight w:val="white"/>
        </w:rPr>
        <w:t>This mechanism is available to all suppliers regardless of their HQ location. Suppliers will select which currency (USD or EUR) to be tracked against at the beginning of the Framework Agreement and will not be able to switch currencies.​</w:t>
      </w:r>
    </w:p>
    <w:p w:rsidR="00A878D0" w:rsidRPr="00A878D0" w:rsidRDefault="00A878D0" w:rsidP="00C50AEF">
      <w:pPr>
        <w:pStyle w:val="GPSL2numberedclause"/>
        <w:ind w:left="983"/>
        <w:rPr>
          <w:rFonts w:ascii="Arial" w:hAnsi="Arial"/>
          <w:sz w:val="24"/>
          <w:szCs w:val="24"/>
          <w:highlight w:val="white"/>
        </w:rPr>
      </w:pPr>
      <w:r w:rsidRPr="00A878D0">
        <w:rPr>
          <w:rFonts w:ascii="Arial" w:eastAsia="Arial" w:hAnsi="Arial"/>
          <w:sz w:val="24"/>
          <w:szCs w:val="24"/>
          <w:highlight w:val="white"/>
        </w:rPr>
        <w:t>Where the standard threshold is met, the increase to maximum rates under the Framework will be automatic for any Supplier being tracked against a currency that breaches the specified threshold.​</w:t>
      </w:r>
    </w:p>
    <w:p w:rsidR="00A878D0" w:rsidRPr="00A878D0" w:rsidRDefault="00A878D0" w:rsidP="00C50AEF">
      <w:pPr>
        <w:pStyle w:val="GPSL2numberedclause"/>
        <w:ind w:left="983"/>
        <w:rPr>
          <w:rFonts w:ascii="Arial" w:hAnsi="Arial"/>
          <w:sz w:val="24"/>
          <w:szCs w:val="24"/>
          <w:highlight w:val="white"/>
        </w:rPr>
      </w:pPr>
      <w:r w:rsidRPr="00A878D0">
        <w:rPr>
          <w:rFonts w:ascii="Arial" w:eastAsia="Arial" w:hAnsi="Arial"/>
          <w:sz w:val="24"/>
          <w:szCs w:val="24"/>
          <w:highlight w:val="white"/>
        </w:rPr>
        <w:t>The rate increase applies only to the maximum rates that can be charged under the Framework, and shall not affect the rates payable by a Buyer under a Call-off Contract in force at the time the automatic increase is applied.</w:t>
      </w:r>
    </w:p>
    <w:p w:rsidR="00A878D0" w:rsidRPr="00A878D0" w:rsidRDefault="00A878D0" w:rsidP="00C50AEF">
      <w:pPr>
        <w:pStyle w:val="GPSL2numberedclause"/>
        <w:ind w:left="983"/>
        <w:rPr>
          <w:rFonts w:ascii="Arial" w:hAnsi="Arial"/>
          <w:sz w:val="24"/>
          <w:szCs w:val="24"/>
          <w:highlight w:val="white"/>
        </w:rPr>
      </w:pPr>
      <w:r w:rsidRPr="00A878D0">
        <w:rPr>
          <w:rFonts w:ascii="Arial" w:eastAsia="Arial" w:hAnsi="Arial"/>
          <w:sz w:val="24"/>
          <w:szCs w:val="24"/>
          <w:highlight w:val="white"/>
        </w:rPr>
        <w:t>The following example is provided for illustrative purposes:</w:t>
      </w:r>
    </w:p>
    <w:p w:rsidR="00A878D0" w:rsidRPr="00A878D0" w:rsidRDefault="00A878D0" w:rsidP="00C50AEF">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 xml:space="preserve">Using an example where the Framework commenced in January 2019 and the first annual review of rates was January 2020, the annual average strengthening of USD against GBP was 1.26% and was 3.3% for EUR. </w:t>
      </w:r>
    </w:p>
    <w:p w:rsidR="00A878D0" w:rsidRPr="00A878D0" w:rsidRDefault="00A878D0" w:rsidP="00C50AEF">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On this basis, Suppliers being tracked against USD would receive no increase to their maximum Framework rates and Suppliers being tracked against EUR would receive an automatic increase of 3% to their maximum Framework rates. ​</w:t>
      </w:r>
    </w:p>
    <w:p w:rsidR="00A878D0" w:rsidRPr="00A878D0" w:rsidRDefault="00A878D0" w:rsidP="00C50AEF">
      <w:pPr>
        <w:pStyle w:val="GPSL3numberedclause"/>
        <w:ind w:left="2137"/>
        <w:rPr>
          <w:rFonts w:ascii="Arial" w:eastAsia="Arial" w:hAnsi="Arial"/>
          <w:sz w:val="24"/>
          <w:szCs w:val="24"/>
          <w:highlight w:val="white"/>
        </w:rPr>
      </w:pPr>
      <w:r w:rsidRPr="00A878D0">
        <w:rPr>
          <w:rFonts w:ascii="Arial" w:eastAsia="Arial" w:hAnsi="Arial"/>
          <w:sz w:val="24"/>
          <w:szCs w:val="24"/>
          <w:highlight w:val="white"/>
        </w:rPr>
        <w:t xml:space="preserve">On the following anniversary of the Framework Start Date in January 2021, the average monthly exchange rate for the period Feb 2020 – January 2021 would be reviewed for both currencies. </w:t>
      </w:r>
    </w:p>
    <w:p w:rsidR="00A878D0" w:rsidRPr="00A878D0" w:rsidRDefault="00A878D0" w:rsidP="00C50AEF">
      <w:pPr>
        <w:pStyle w:val="GPSL3numberedclause"/>
        <w:ind w:left="2194"/>
        <w:rPr>
          <w:rFonts w:ascii="Arial" w:eastAsia="Arial" w:hAnsi="Arial"/>
          <w:sz w:val="24"/>
          <w:szCs w:val="24"/>
          <w:highlight w:val="white"/>
        </w:rPr>
      </w:pPr>
      <w:r w:rsidRPr="00A878D0">
        <w:rPr>
          <w:rFonts w:ascii="Arial" w:eastAsia="Arial" w:hAnsi="Arial"/>
          <w:sz w:val="24"/>
          <w:szCs w:val="24"/>
          <w:highlight w:val="white"/>
        </w:rPr>
        <w:t>If the GBP to EUR increase against the initial exchange rate on Framework commencement was now below 3% then the rates for EUR tracked suppliers would revert back to the original Framework rates. If EUR had further strengthened against GBP and was now 6.6% then rates would automatically be increased by 5%.</w:t>
      </w:r>
    </w:p>
    <w:p w:rsidR="00A878D0" w:rsidRPr="00A878D0" w:rsidRDefault="00A878D0" w:rsidP="00A878D0">
      <w:pPr>
        <w:pStyle w:val="GPSL1CLAUSEHEADING"/>
        <w:numPr>
          <w:ilvl w:val="0"/>
          <w:numId w:val="0"/>
        </w:numPr>
        <w:ind w:left="644" w:hanging="360"/>
        <w:rPr>
          <w:sz w:val="24"/>
          <w:szCs w:val="24"/>
        </w:rPr>
      </w:pPr>
    </w:p>
    <w:p w:rsidR="00243482" w:rsidRPr="00A878D0" w:rsidRDefault="00243482">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sz w:val="24"/>
          <w:szCs w:val="24"/>
          <w:highlight w:val="yellow"/>
        </w:rPr>
      </w:pPr>
    </w:p>
    <w:p w:rsidR="00243482" w:rsidRPr="00A878D0" w:rsidRDefault="00243482">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243482" w:rsidRDefault="00822815">
      <w:pPr>
        <w:rPr>
          <w:rFonts w:ascii="Arial" w:eastAsia="Arial" w:hAnsi="Arial" w:cs="Arial"/>
          <w:b/>
          <w:sz w:val="36"/>
          <w:szCs w:val="36"/>
        </w:rPr>
      </w:pPr>
      <w:bookmarkStart w:id="8" w:name="_heading=h.1t3h5sf" w:colFirst="0" w:colLast="0"/>
      <w:bookmarkEnd w:id="8"/>
      <w:r w:rsidRPr="00A878D0">
        <w:rPr>
          <w:sz w:val="24"/>
          <w:szCs w:val="24"/>
        </w:rPr>
        <w:br w:type="page"/>
      </w:r>
      <w:r>
        <w:rPr>
          <w:rFonts w:ascii="Arial" w:eastAsia="Arial" w:hAnsi="Arial" w:cs="Arial"/>
          <w:b/>
          <w:sz w:val="36"/>
          <w:szCs w:val="36"/>
        </w:rPr>
        <w:lastRenderedPageBreak/>
        <w:t>Annex 1: Rates and Prices</w:t>
      </w:r>
    </w:p>
    <w:p w:rsidR="00243482" w:rsidRDefault="0082281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243482" w:rsidRDefault="00822815">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rates</w:t>
      </w:r>
    </w:p>
    <w:p w:rsidR="00243482" w:rsidRDefault="00822815">
      <w:pPr>
        <w:pBdr>
          <w:top w:val="nil"/>
          <w:left w:val="nil"/>
          <w:bottom w:val="nil"/>
          <w:right w:val="nil"/>
          <w:between w:val="nil"/>
        </w:pBdr>
        <w:spacing w:before="240" w:after="120" w:line="240" w:lineRule="auto"/>
        <w:rPr>
          <w:rFonts w:ascii="Arial" w:eastAsia="Arial" w:hAnsi="Arial" w:cs="Arial"/>
          <w:i/>
          <w:color w:val="000000"/>
          <w:sz w:val="24"/>
          <w:szCs w:val="24"/>
        </w:rPr>
      </w:pPr>
      <w:r>
        <w:rPr>
          <w:rFonts w:ascii="Arial" w:eastAsia="Arial" w:hAnsi="Arial" w:cs="Arial"/>
          <w:i/>
          <w:color w:val="000000"/>
          <w:sz w:val="24"/>
          <w:szCs w:val="24"/>
        </w:rPr>
        <w:t>The rates below shall not be subject to variation by way of Indexation but may be subject to change based on exchange rate as set out in section 8 of the Framework Specification.</w:t>
      </w:r>
    </w:p>
    <w:p w:rsidR="00243482" w:rsidRDefault="00822815">
      <w:pPr>
        <w:pBdr>
          <w:top w:val="nil"/>
          <w:left w:val="nil"/>
          <w:bottom w:val="nil"/>
          <w:right w:val="nil"/>
          <w:between w:val="nil"/>
        </w:pBdr>
        <w:spacing w:before="240" w:after="0" w:line="240" w:lineRule="auto"/>
        <w:rPr>
          <w:rFonts w:ascii="Arial" w:eastAsia="Arial" w:hAnsi="Arial" w:cs="Arial"/>
          <w:i/>
          <w:color w:val="000000"/>
          <w:sz w:val="24"/>
          <w:szCs w:val="24"/>
        </w:rPr>
      </w:pPr>
      <w:r>
        <w:rPr>
          <w:rFonts w:ascii="Arial" w:eastAsia="Arial" w:hAnsi="Arial" w:cs="Arial"/>
          <w:i/>
          <w:color w:val="000000"/>
          <w:sz w:val="24"/>
          <w:szCs w:val="24"/>
        </w:rPr>
        <w:t>Legal Grades (to be replicated for other countries/jurisdictions if applicable)</w:t>
      </w:r>
    </w:p>
    <w:p w:rsidR="00243482" w:rsidRDefault="00243482">
      <w:pPr>
        <w:pBdr>
          <w:top w:val="nil"/>
          <w:left w:val="nil"/>
          <w:bottom w:val="nil"/>
          <w:right w:val="nil"/>
          <w:between w:val="nil"/>
        </w:pBdr>
        <w:spacing w:before="240" w:after="0" w:line="240" w:lineRule="auto"/>
        <w:rPr>
          <w:rFonts w:ascii="Arial" w:eastAsia="Arial" w:hAnsi="Arial" w:cs="Arial"/>
          <w:b/>
          <w:i/>
          <w:color w:val="000000"/>
          <w:sz w:val="24"/>
          <w:szCs w:val="24"/>
        </w:rPr>
      </w:pP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87"/>
        <w:gridCol w:w="7029"/>
      </w:tblGrid>
      <w:tr w:rsidR="00243482">
        <w:trPr>
          <w:trHeight w:val="556"/>
        </w:trPr>
        <w:tc>
          <w:tcPr>
            <w:tcW w:w="1987"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Legal Grade</w:t>
            </w:r>
          </w:p>
        </w:tc>
        <w:tc>
          <w:tcPr>
            <w:tcW w:w="7029"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Hourly Rate (£)</w:t>
            </w:r>
          </w:p>
        </w:tc>
      </w:tr>
      <w:tr w:rsidR="00243482">
        <w:trPr>
          <w:trHeight w:val="556"/>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1</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556"/>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2</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562"/>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3</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556"/>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4</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556"/>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5</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556"/>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6</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244"/>
        </w:trPr>
        <w:tc>
          <w:tcPr>
            <w:tcW w:w="1987"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7</w:t>
            </w:r>
          </w:p>
        </w:tc>
        <w:tc>
          <w:tcPr>
            <w:tcW w:w="7029"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243482" w:rsidRDefault="00243482">
      <w:pPr>
        <w:keepNext/>
        <w:pBdr>
          <w:top w:val="nil"/>
          <w:left w:val="nil"/>
          <w:bottom w:val="nil"/>
          <w:right w:val="nil"/>
          <w:between w:val="nil"/>
        </w:pBdr>
        <w:spacing w:before="240" w:after="240" w:line="240" w:lineRule="auto"/>
        <w:rPr>
          <w:rFonts w:ascii="Arial" w:eastAsia="Arial" w:hAnsi="Arial" w:cs="Arial"/>
          <w:i/>
          <w:color w:val="000000"/>
          <w:sz w:val="24"/>
          <w:szCs w:val="24"/>
        </w:rPr>
      </w:pPr>
    </w:p>
    <w:p w:rsidR="00243482" w:rsidRDefault="00822815">
      <w:pPr>
        <w:rPr>
          <w:rFonts w:ascii="Arial" w:eastAsia="Arial" w:hAnsi="Arial" w:cs="Arial"/>
          <w:i/>
          <w:sz w:val="24"/>
          <w:szCs w:val="24"/>
        </w:rPr>
      </w:pPr>
      <w:r>
        <w:br w:type="page"/>
      </w:r>
    </w:p>
    <w:p w:rsidR="00243482" w:rsidRDefault="00822815">
      <w:pPr>
        <w:keepNext/>
        <w:pBdr>
          <w:top w:val="nil"/>
          <w:left w:val="nil"/>
          <w:bottom w:val="nil"/>
          <w:right w:val="nil"/>
          <w:between w:val="nil"/>
        </w:pBdr>
        <w:spacing w:before="240" w:after="240" w:line="240" w:lineRule="auto"/>
        <w:rPr>
          <w:rFonts w:ascii="Arial" w:eastAsia="Arial" w:hAnsi="Arial" w:cs="Arial"/>
          <w:i/>
          <w:color w:val="000000"/>
          <w:sz w:val="24"/>
          <w:szCs w:val="24"/>
        </w:rPr>
      </w:pPr>
      <w:r>
        <w:rPr>
          <w:rFonts w:ascii="Arial" w:eastAsia="Arial" w:hAnsi="Arial" w:cs="Arial"/>
          <w:i/>
          <w:color w:val="000000"/>
          <w:sz w:val="24"/>
          <w:szCs w:val="24"/>
        </w:rPr>
        <w:lastRenderedPageBreak/>
        <w:t>Pricing for Optional Personnel</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80"/>
        <w:gridCol w:w="7036"/>
      </w:tblGrid>
      <w:tr w:rsidR="00243482">
        <w:tc>
          <w:tcPr>
            <w:tcW w:w="1980"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7036"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Daily Rate (£)</w:t>
            </w:r>
          </w:p>
        </w:tc>
      </w:tr>
      <w:tr w:rsidR="00243482">
        <w:tc>
          <w:tcPr>
            <w:tcW w:w="1980"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rPr>
              <w:t>Senior Analyst​</w:t>
            </w:r>
          </w:p>
        </w:tc>
        <w:tc>
          <w:tcPr>
            <w:tcW w:w="7036"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c>
          <w:tcPr>
            <w:tcW w:w="1980"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Analyst</w:t>
            </w:r>
          </w:p>
        </w:tc>
        <w:tc>
          <w:tcPr>
            <w:tcW w:w="7036"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c>
          <w:tcPr>
            <w:tcW w:w="1980"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Senior Modeller</w:t>
            </w:r>
          </w:p>
        </w:tc>
        <w:tc>
          <w:tcPr>
            <w:tcW w:w="7036"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c>
          <w:tcPr>
            <w:tcW w:w="1980"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Modeller</w:t>
            </w:r>
          </w:p>
        </w:tc>
        <w:tc>
          <w:tcPr>
            <w:tcW w:w="7036"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243482" w:rsidRDefault="0082281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Volume Discount</w:t>
      </w:r>
    </w:p>
    <w:p w:rsidR="00243482" w:rsidRDefault="00822815">
      <w:pPr>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89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31"/>
        <w:gridCol w:w="4395"/>
      </w:tblGrid>
      <w:tr w:rsidR="00243482">
        <w:tc>
          <w:tcPr>
            <w:tcW w:w="4531"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 of Hours</w:t>
            </w:r>
          </w:p>
        </w:tc>
        <w:tc>
          <w:tcPr>
            <w:tcW w:w="4395" w:type="dxa"/>
            <w:shd w:val="clear" w:color="auto" w:fill="548DD4"/>
          </w:tcPr>
          <w:p w:rsidR="00243482" w:rsidRDefault="0082281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 Discount</w:t>
            </w:r>
          </w:p>
        </w:tc>
      </w:tr>
      <w:tr w:rsidR="00243482">
        <w:trPr>
          <w:trHeight w:val="636"/>
        </w:trPr>
        <w:tc>
          <w:tcPr>
            <w:tcW w:w="4531"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rPr>
              <w:t>500 &gt; 999</w:t>
            </w:r>
          </w:p>
        </w:tc>
        <w:tc>
          <w:tcPr>
            <w:tcW w:w="4395"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636"/>
        </w:trPr>
        <w:tc>
          <w:tcPr>
            <w:tcW w:w="4531"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1000-2999</w:t>
            </w:r>
          </w:p>
        </w:tc>
        <w:tc>
          <w:tcPr>
            <w:tcW w:w="4395"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243482">
        <w:trPr>
          <w:trHeight w:val="636"/>
        </w:trPr>
        <w:tc>
          <w:tcPr>
            <w:tcW w:w="4531" w:type="dxa"/>
          </w:tcPr>
          <w:p w:rsidR="00243482" w:rsidRDefault="0082281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3000+</w:t>
            </w:r>
          </w:p>
        </w:tc>
        <w:tc>
          <w:tcPr>
            <w:tcW w:w="4395" w:type="dxa"/>
          </w:tcPr>
          <w:p w:rsidR="00243482" w:rsidRDefault="0024348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243482" w:rsidRDefault="00243482">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rsidR="00243482" w:rsidRDefault="0082281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Relevant Currency for Exchange Rate Mechanism</w:t>
      </w:r>
    </w:p>
    <w:p w:rsidR="00243482" w:rsidRDefault="00822815">
      <w:pPr>
        <w:keepNext/>
        <w:pBdr>
          <w:top w:val="nil"/>
          <w:left w:val="nil"/>
          <w:bottom w:val="nil"/>
          <w:right w:val="nil"/>
          <w:between w:val="nil"/>
        </w:pBdr>
        <w:spacing w:before="240" w:after="240" w:line="240" w:lineRule="auto"/>
        <w:rPr>
          <w:rFonts w:ascii="Arial" w:eastAsia="Arial" w:hAnsi="Arial" w:cs="Arial"/>
          <w:i/>
          <w:color w:val="000000"/>
          <w:sz w:val="24"/>
          <w:szCs w:val="24"/>
        </w:rPr>
      </w:pPr>
      <w:r>
        <w:rPr>
          <w:rFonts w:ascii="Arial" w:eastAsia="Arial" w:hAnsi="Arial" w:cs="Arial"/>
          <w:i/>
          <w:color w:val="000000"/>
          <w:sz w:val="24"/>
          <w:szCs w:val="24"/>
        </w:rPr>
        <w:t>A maximum of one currency may be selected.</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3482">
        <w:trPr>
          <w:trHeight w:val="727"/>
        </w:trPr>
        <w:tc>
          <w:tcPr>
            <w:tcW w:w="4508" w:type="dxa"/>
            <w:shd w:val="clear" w:color="auto" w:fill="548DD4"/>
          </w:tcPr>
          <w:p w:rsidR="00243482" w:rsidRDefault="00243482">
            <w:pPr>
              <w:rPr>
                <w:rFonts w:ascii="Arial" w:eastAsia="Arial" w:hAnsi="Arial" w:cs="Arial"/>
                <w:b/>
                <w:sz w:val="24"/>
                <w:szCs w:val="24"/>
              </w:rPr>
            </w:pPr>
          </w:p>
          <w:p w:rsidR="00243482" w:rsidRDefault="00822815">
            <w:pPr>
              <w:rPr>
                <w:rFonts w:ascii="Arial" w:eastAsia="Arial" w:hAnsi="Arial" w:cs="Arial"/>
                <w:b/>
                <w:sz w:val="24"/>
                <w:szCs w:val="24"/>
              </w:rPr>
            </w:pPr>
            <w:r>
              <w:rPr>
                <w:rFonts w:ascii="Arial" w:eastAsia="Arial" w:hAnsi="Arial" w:cs="Arial"/>
                <w:b/>
                <w:sz w:val="24"/>
                <w:szCs w:val="24"/>
              </w:rPr>
              <w:t>Euros (EUR)</w:t>
            </w:r>
          </w:p>
        </w:tc>
        <w:tc>
          <w:tcPr>
            <w:tcW w:w="4508" w:type="dxa"/>
            <w:shd w:val="clear" w:color="auto" w:fill="548DD4"/>
          </w:tcPr>
          <w:p w:rsidR="00243482" w:rsidRDefault="00243482">
            <w:pPr>
              <w:rPr>
                <w:rFonts w:ascii="Arial" w:eastAsia="Arial" w:hAnsi="Arial" w:cs="Arial"/>
                <w:b/>
                <w:sz w:val="24"/>
                <w:szCs w:val="24"/>
              </w:rPr>
            </w:pPr>
          </w:p>
          <w:p w:rsidR="00243482" w:rsidRDefault="00822815">
            <w:pPr>
              <w:rPr>
                <w:rFonts w:ascii="Arial" w:eastAsia="Arial" w:hAnsi="Arial" w:cs="Arial"/>
                <w:b/>
                <w:sz w:val="24"/>
                <w:szCs w:val="24"/>
              </w:rPr>
            </w:pPr>
            <w:r>
              <w:rPr>
                <w:rFonts w:ascii="Arial" w:eastAsia="Arial" w:hAnsi="Arial" w:cs="Arial"/>
                <w:b/>
                <w:sz w:val="24"/>
                <w:szCs w:val="24"/>
              </w:rPr>
              <w:t>Dollars (USD)</w:t>
            </w:r>
          </w:p>
        </w:tc>
      </w:tr>
      <w:tr w:rsidR="00243482">
        <w:trPr>
          <w:trHeight w:val="718"/>
        </w:trPr>
        <w:tc>
          <w:tcPr>
            <w:tcW w:w="4508" w:type="dxa"/>
          </w:tcPr>
          <w:p w:rsidR="00243482" w:rsidRDefault="00822815">
            <w:pPr>
              <w:rPr>
                <w:rFonts w:ascii="Arial" w:eastAsia="Arial" w:hAnsi="Arial" w:cs="Arial"/>
                <w:b/>
                <w:sz w:val="24"/>
                <w:szCs w:val="24"/>
                <w:highlight w:val="yellow"/>
              </w:rPr>
            </w:pPr>
            <w:r>
              <w:rPr>
                <w:rFonts w:ascii="Arial" w:eastAsia="Arial" w:hAnsi="Arial" w:cs="Arial"/>
                <w:b/>
                <w:sz w:val="24"/>
                <w:szCs w:val="24"/>
                <w:highlight w:val="yellow"/>
              </w:rPr>
              <w:t>Y/N</w:t>
            </w:r>
          </w:p>
        </w:tc>
        <w:tc>
          <w:tcPr>
            <w:tcW w:w="4508" w:type="dxa"/>
          </w:tcPr>
          <w:p w:rsidR="00243482" w:rsidRDefault="00822815">
            <w:pPr>
              <w:rPr>
                <w:rFonts w:ascii="Arial" w:eastAsia="Arial" w:hAnsi="Arial" w:cs="Arial"/>
                <w:b/>
                <w:sz w:val="24"/>
                <w:szCs w:val="24"/>
                <w:highlight w:val="yellow"/>
              </w:rPr>
            </w:pPr>
            <w:r>
              <w:rPr>
                <w:rFonts w:ascii="Arial" w:eastAsia="Arial" w:hAnsi="Arial" w:cs="Arial"/>
                <w:b/>
                <w:sz w:val="24"/>
                <w:szCs w:val="24"/>
                <w:highlight w:val="yellow"/>
              </w:rPr>
              <w:t>Y/N</w:t>
            </w:r>
          </w:p>
        </w:tc>
      </w:tr>
    </w:tbl>
    <w:p w:rsidR="00243482" w:rsidRDefault="00243482">
      <w:pPr>
        <w:rPr>
          <w:rFonts w:ascii="Arial" w:eastAsia="Arial" w:hAnsi="Arial" w:cs="Arial"/>
          <w:b/>
          <w:sz w:val="24"/>
          <w:szCs w:val="24"/>
        </w:rPr>
      </w:pPr>
    </w:p>
    <w:sectPr w:rsidR="00243482">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DBC" w:rsidRDefault="00402DBC">
      <w:pPr>
        <w:spacing w:after="0" w:line="240" w:lineRule="auto"/>
      </w:pPr>
      <w:r>
        <w:separator/>
      </w:r>
    </w:p>
  </w:endnote>
  <w:endnote w:type="continuationSeparator" w:id="0">
    <w:p w:rsidR="00402DBC" w:rsidRDefault="00402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82" w:rsidRDefault="008228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RM6183</w:t>
    </w:r>
    <w:r>
      <w:rPr>
        <w:rFonts w:ascii="Arial" w:eastAsia="Arial" w:hAnsi="Arial" w:cs="Arial"/>
        <w:sz w:val="20"/>
        <w:szCs w:val="20"/>
      </w:rPr>
      <w:tab/>
      <w:t xml:space="preserve">                                           </w:t>
    </w:r>
  </w:p>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231B2">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243482" w:rsidRDefault="0082281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82" w:rsidRDefault="00822815">
    <w:pPr>
      <w:tabs>
        <w:tab w:val="center" w:pos="4513"/>
        <w:tab w:val="right" w:pos="9026"/>
      </w:tabs>
      <w:spacing w:after="0"/>
    </w:pPr>
    <w:r>
      <w:t>Framework Ref: RM</w:t>
    </w:r>
    <w:r>
      <w:tab/>
      <w:t xml:space="preserve">                                           </w:t>
    </w:r>
  </w:p>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43482" w:rsidRDefault="0082281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DBC" w:rsidRDefault="00402DBC">
      <w:pPr>
        <w:spacing w:after="0" w:line="240" w:lineRule="auto"/>
      </w:pPr>
      <w:r>
        <w:separator/>
      </w:r>
    </w:p>
  </w:footnote>
  <w:footnote w:type="continuationSeparator" w:id="0">
    <w:p w:rsidR="00402DBC" w:rsidRDefault="00402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43482" w:rsidRDefault="0082281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FE9"/>
    <w:multiLevelType w:val="multilevel"/>
    <w:tmpl w:val="E6ACFAD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6163D0"/>
    <w:multiLevelType w:val="multilevel"/>
    <w:tmpl w:val="7DFCCBE4"/>
    <w:lvl w:ilvl="0">
      <w:start w:val="1"/>
      <w:numFmt w:val="decimal"/>
      <w:pStyle w:val="GPSL1CLAUSEHEADING"/>
      <w:lvlText w:val="%1."/>
      <w:lvlJc w:val="left"/>
      <w:pPr>
        <w:ind w:left="644" w:hanging="360"/>
      </w:pPr>
      <w:rPr>
        <w:rFonts w:ascii="Arial" w:hAnsi="Arial" w:cs="Arial" w:hint="default"/>
        <w:smallCaps w:val="0"/>
        <w:strike w:val="0"/>
        <w:color w:val="000000"/>
        <w:sz w:val="24"/>
        <w:szCs w:val="24"/>
        <w:u w:val="none"/>
        <w:vertAlign w:val="baseline"/>
      </w:rPr>
    </w:lvl>
    <w:lvl w:ilvl="1">
      <w:start w:val="1"/>
      <w:numFmt w:val="decimal"/>
      <w:pStyle w:val="GPSL2numberedclause"/>
      <w:lvlText w:val="%1.%2"/>
      <w:lvlJc w:val="left"/>
      <w:pPr>
        <w:ind w:left="643"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855"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BC17D05"/>
    <w:multiLevelType w:val="multilevel"/>
    <w:tmpl w:val="FA7AC970"/>
    <w:lvl w:ilvl="0">
      <w:start w:val="2"/>
      <w:numFmt w:val="decimal"/>
      <w:lvlText w:val="%1."/>
      <w:lvlJc w:val="right"/>
      <w:pPr>
        <w:ind w:left="720" w:hanging="360"/>
      </w:pPr>
      <w:rPr>
        <w:rFonts w:ascii="Arial" w:eastAsia="Arial" w:hAnsi="Arial" w:cs="Arial"/>
        <w:b/>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rFonts w:ascii="Arial" w:eastAsia="Arial" w:hAnsi="Arial" w:cs="Arial"/>
        <w:b w:val="0"/>
        <w:u w:val="none"/>
      </w:rPr>
    </w:lvl>
    <w:lvl w:ilvl="4">
      <w:start w:val="1"/>
      <w:numFmt w:val="decimal"/>
      <w:lvlText w:val="%1.%2.%3.%4.%5."/>
      <w:lvlJc w:val="right"/>
      <w:pPr>
        <w:ind w:left="3600" w:hanging="360"/>
      </w:pPr>
      <w:rPr>
        <w:rFonts w:ascii="Arial" w:eastAsia="Arial" w:hAnsi="Arial" w:cs="Arial"/>
        <w:b w:val="0"/>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482"/>
    <w:rsid w:val="000D43B4"/>
    <w:rsid w:val="00243482"/>
    <w:rsid w:val="00402DBC"/>
    <w:rsid w:val="00822815"/>
    <w:rsid w:val="009231B2"/>
    <w:rsid w:val="00945FE5"/>
    <w:rsid w:val="00A878D0"/>
    <w:rsid w:val="00B72F54"/>
    <w:rsid w:val="00C50AEF"/>
    <w:rsid w:val="00CD7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A198EE-67E7-4549-AEBD-A49D3F4A0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4TSuVD2C1hBZbLxU4gliM2PqyA==">AMUW2mX1wFngfJhIYr60as5WwIZLuxB9z4cTELP4jJYog+jW3HuI325NGn/rYg0KNPE0j1vxbnwnDpGLlcYSqSye5ewbK1ybGqA+BJH2Gf+8/bNjD8LPWdJ7A7WEO3UEsbgMk4a14YjHO9cKNRRvdT/BqCgQBDW8yd0uV1YasK/AVRBwphQu9OMVF4pWktM/JQOciACMRCIHNQ25pbvxyF35N23Ilkzih+w8KzLgkXDpc7vCv5vzsjc=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2020-07-02T14:48:00Z</dcterms:created>
  <dcterms:modified xsi:type="dcterms:W3CDTF">2020-07-02T14:48:00Z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